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163B996A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31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4A94132" w14:textId="6F1E6E9D" w:rsidR="000C2DED" w:rsidRPr="0060540F" w:rsidRDefault="00E676FD" w:rsidP="000C2D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0C2DED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0C2DED">
        <w:rPr>
          <w:rFonts w:ascii="Tahoma" w:eastAsia="Times New Roman" w:hAnsi="Tahoma" w:cs="Tahoma"/>
          <w:b/>
          <w:bCs/>
          <w:color w:val="0000FF"/>
          <w:lang w:eastAsia="sk-SK"/>
        </w:rPr>
        <w:t>Správy VV</w:t>
      </w:r>
    </w:p>
    <w:p w14:paraId="4C370A6F" w14:textId="77777777" w:rsidR="000C2DED" w:rsidRPr="00E676FD" w:rsidRDefault="000C2DED" w:rsidP="000C2DED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83E70A5" w14:textId="0AFD44B3" w:rsidR="000C2DED" w:rsidRPr="001F6250" w:rsidRDefault="001F6250" w:rsidP="000C2DED">
      <w:pPr>
        <w:spacing w:line="276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Uznesenia Výkonného výboru ObFZ Trebišov</w:t>
      </w:r>
      <w:r>
        <w:rPr>
          <w:rFonts w:ascii="Tahoma" w:hAnsi="Tahoma" w:cs="Tahoma"/>
          <w:bCs/>
          <w:sz w:val="20"/>
          <w:szCs w:val="20"/>
        </w:rPr>
        <w:t xml:space="preserve"> nájdete na stránke </w:t>
      </w:r>
      <w:hyperlink r:id="rId7" w:history="1">
        <w:r w:rsidRPr="00CF4CB5">
          <w:rPr>
            <w:rStyle w:val="Hypertextovprepojenie"/>
            <w:rFonts w:ascii="Tahoma" w:hAnsi="Tahoma" w:cs="Tahoma"/>
            <w:bCs/>
            <w:sz w:val="20"/>
            <w:szCs w:val="20"/>
          </w:rPr>
          <w:t>www.obfztv.sk</w:t>
        </w:r>
      </w:hyperlink>
      <w:r>
        <w:rPr>
          <w:rFonts w:ascii="Tahoma" w:hAnsi="Tahoma" w:cs="Tahoma"/>
          <w:bCs/>
          <w:sz w:val="20"/>
          <w:szCs w:val="20"/>
        </w:rPr>
        <w:t xml:space="preserve"> v časti „Uznesenia VV“.</w:t>
      </w:r>
      <w:r w:rsidR="004B508C">
        <w:rPr>
          <w:rFonts w:ascii="Tahoma" w:hAnsi="Tahoma" w:cs="Tahoma"/>
          <w:bCs/>
          <w:sz w:val="20"/>
          <w:szCs w:val="20"/>
        </w:rPr>
        <w:t xml:space="preserve"> Najbližšie (3.) zasadnutie VV ObFZ sa uskutoční v pondelok dňa 28.02.2022 na ObFZ.</w:t>
      </w:r>
    </w:p>
    <w:p w14:paraId="0E744F8C" w14:textId="6CA09DDE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644421E" w14:textId="78E85005" w:rsidR="00E676FD" w:rsidRPr="0060540F" w:rsidRDefault="00E676FD" w:rsidP="00E67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594516">
        <w:rPr>
          <w:rFonts w:ascii="Tahoma" w:eastAsia="Times New Roman" w:hAnsi="Tahoma" w:cs="Tahoma"/>
          <w:b/>
          <w:bCs/>
          <w:color w:val="0000FF"/>
          <w:lang w:eastAsia="sk-SK"/>
        </w:rPr>
        <w:t>Správy TMK</w:t>
      </w:r>
    </w:p>
    <w:p w14:paraId="68D5344C" w14:textId="77777777" w:rsidR="00E676FD" w:rsidRPr="002D5132" w:rsidRDefault="00E676F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6DA945D" w14:textId="77777777" w:rsidR="00F04AAB" w:rsidRDefault="004B508C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TMK pripomína trénerom, že predĺženie svojej trénerskej licencie môžu vykonať v ISSF podľa návodu: </w:t>
      </w:r>
    </w:p>
    <w:p w14:paraId="0A8693FA" w14:textId="12B01721" w:rsidR="000C2DED" w:rsidRDefault="000B6A16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hyperlink r:id="rId8" w:history="1">
        <w:r w:rsidR="00F04AAB" w:rsidRPr="00572146">
          <w:rPr>
            <w:rStyle w:val="Hypertextovprepojenie"/>
            <w:rFonts w:ascii="Tahoma" w:eastAsia="Times New Roman" w:hAnsi="Tahoma" w:cs="Tahoma"/>
            <w:sz w:val="20"/>
            <w:szCs w:val="20"/>
            <w:bdr w:val="none" w:sz="0" w:space="0" w:color="auto" w:frame="1"/>
            <w:lang w:eastAsia="sk-SK"/>
          </w:rPr>
          <w:t>https://futbalsfz.sk/treneri/dokumenty/manual-ziadosti-na-predlzenie-trenerskej-licencie-v-issf/</w:t>
        </w:r>
      </w:hyperlink>
    </w:p>
    <w:p w14:paraId="469B92B5" w14:textId="77777777" w:rsidR="00F04AAB" w:rsidRPr="002D5132" w:rsidRDefault="00F04AAB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08AC718" w14:textId="7D548A73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77777777" w:rsidR="009B76F9" w:rsidRP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C3B21A5" w14:textId="75D346AB" w:rsidR="009B76F9" w:rsidRDefault="009B76F9" w:rsidP="009B76F9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 xml:space="preserve">Zimný doškoľovací seminár rozhodcov a delegátov </w:t>
      </w:r>
      <w:r w:rsidRPr="009B76F9">
        <w:rPr>
          <w:rFonts w:ascii="Tahoma" w:hAnsi="Tahoma" w:cs="Tahoma"/>
          <w:color w:val="000000"/>
          <w:sz w:val="20"/>
          <w:szCs w:val="20"/>
        </w:rPr>
        <w:t>(R a D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Pr="009B76F9">
        <w:rPr>
          <w:rFonts w:ascii="Tahoma" w:hAnsi="Tahoma" w:cs="Tahoma"/>
          <w:color w:val="000000"/>
          <w:sz w:val="20"/>
          <w:szCs w:val="20"/>
        </w:rPr>
        <w:t xml:space="preserve">) ObFZ Trebišov sa uskutoční v nedeľu </w:t>
      </w: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>.03.20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22</w:t>
      </w: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 xml:space="preserve"> od 9:00 hod. </w:t>
      </w:r>
      <w:r w:rsidRPr="009B76F9">
        <w:rPr>
          <w:rFonts w:ascii="Tahoma" w:hAnsi="Tahoma" w:cs="Tahoma"/>
          <w:color w:val="000000"/>
          <w:sz w:val="20"/>
          <w:szCs w:val="20"/>
        </w:rPr>
        <w:t xml:space="preserve">v priestoroch strednej školy </w:t>
      </w:r>
      <w:r w:rsidRPr="009B76F9">
        <w:rPr>
          <w:rFonts w:ascii="Tahoma" w:hAnsi="Tahoma" w:cs="Tahoma"/>
          <w:b/>
          <w:bCs/>
          <w:color w:val="000000"/>
          <w:sz w:val="20"/>
          <w:szCs w:val="20"/>
        </w:rPr>
        <w:t>DSA na Komenského ul. 12 v Trebišove</w:t>
      </w:r>
      <w:r w:rsidRPr="009B76F9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Komisia rozhodcov ObFZ </w:t>
      </w:r>
      <w:r w:rsidR="004B508C" w:rsidRPr="004B508C">
        <w:rPr>
          <w:rFonts w:ascii="Tahoma" w:hAnsi="Tahoma" w:cs="Tahoma"/>
          <w:color w:val="000000"/>
          <w:sz w:val="20"/>
          <w:szCs w:val="20"/>
        </w:rPr>
        <w:t xml:space="preserve">na ňom </w:t>
      </w:r>
      <w:r w:rsidRPr="004B508C">
        <w:rPr>
          <w:rFonts w:ascii="Tahoma" w:hAnsi="Tahoma" w:cs="Tahoma"/>
          <w:color w:val="000000"/>
          <w:sz w:val="20"/>
          <w:szCs w:val="20"/>
        </w:rPr>
        <w:t>vyhodnotí činnosť R a D</w:t>
      </w:r>
      <w:r w:rsidR="004B508C" w:rsidRPr="004B508C">
        <w:rPr>
          <w:rFonts w:ascii="Tahoma" w:hAnsi="Tahoma" w:cs="Tahoma"/>
          <w:color w:val="000000"/>
          <w:sz w:val="20"/>
          <w:szCs w:val="20"/>
        </w:rPr>
        <w:t>Z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 v jesennej časti súťaží ObFZ Trebišov a vydá pokyny k jarnej časti. Účastníci tohto seminára budú po schválení VV</w:t>
      </w:r>
      <w:r w:rsidR="004B508C" w:rsidRPr="004B508C">
        <w:rPr>
          <w:rFonts w:ascii="Tahoma" w:hAnsi="Tahoma" w:cs="Tahoma"/>
          <w:color w:val="000000"/>
          <w:sz w:val="20"/>
          <w:szCs w:val="20"/>
        </w:rPr>
        <w:t xml:space="preserve"> ObFZ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 zaradení na nominačné listiny pre jarnú časť súťaží ObFZ 20</w:t>
      </w:r>
      <w:r w:rsidR="003712F1" w:rsidRPr="004B508C">
        <w:rPr>
          <w:rFonts w:ascii="Tahoma" w:hAnsi="Tahoma" w:cs="Tahoma"/>
          <w:color w:val="000000"/>
          <w:sz w:val="20"/>
          <w:szCs w:val="20"/>
        </w:rPr>
        <w:t>21</w:t>
      </w:r>
      <w:r w:rsidRPr="004B508C">
        <w:rPr>
          <w:rFonts w:ascii="Tahoma" w:hAnsi="Tahoma" w:cs="Tahoma"/>
          <w:color w:val="000000"/>
          <w:sz w:val="20"/>
          <w:szCs w:val="20"/>
        </w:rPr>
        <w:t>/20</w:t>
      </w:r>
      <w:r w:rsidR="003712F1" w:rsidRPr="004B508C">
        <w:rPr>
          <w:rFonts w:ascii="Tahoma" w:hAnsi="Tahoma" w:cs="Tahoma"/>
          <w:color w:val="000000"/>
          <w:sz w:val="20"/>
          <w:szCs w:val="20"/>
        </w:rPr>
        <w:t>22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. Seminára sa môžu zúčastniť aj záujemcovia o získanie základnej kvalifikácie R. </w:t>
      </w:r>
      <w:r w:rsidRPr="004B508C">
        <w:rPr>
          <w:rFonts w:ascii="Tahoma" w:hAnsi="Tahoma" w:cs="Tahoma"/>
          <w:b/>
          <w:bCs/>
          <w:color w:val="000000"/>
          <w:sz w:val="20"/>
          <w:szCs w:val="20"/>
        </w:rPr>
        <w:t xml:space="preserve">Program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seminára R a D bude zverejnený na webovej stránke ObFZ v nasledujúcich dňoch. Frekventanti seminára v zmysle Rozpisu ObFZ Trebišov uhradia </w:t>
      </w:r>
      <w:r w:rsidRPr="004B508C">
        <w:rPr>
          <w:rFonts w:ascii="Tahoma" w:hAnsi="Tahoma" w:cs="Tahoma"/>
          <w:b/>
          <w:bCs/>
          <w:color w:val="000000"/>
          <w:sz w:val="20"/>
          <w:szCs w:val="20"/>
        </w:rPr>
        <w:t xml:space="preserve">5 € na účet ObFZ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(IBAN: SK54 0200 0000 0011 7646 7258) </w:t>
      </w:r>
      <w:r w:rsidRPr="004B508C">
        <w:rPr>
          <w:rFonts w:ascii="Tahoma" w:hAnsi="Tahoma" w:cs="Tahoma"/>
          <w:b/>
          <w:bCs/>
          <w:color w:val="000000"/>
          <w:sz w:val="20"/>
          <w:szCs w:val="20"/>
        </w:rPr>
        <w:t xml:space="preserve">s uvedením mena a priezviska do poznámky </w:t>
      </w:r>
      <w:r w:rsidRPr="004B508C">
        <w:rPr>
          <w:rFonts w:ascii="Tahoma" w:hAnsi="Tahoma" w:cs="Tahoma"/>
          <w:color w:val="000000"/>
          <w:sz w:val="20"/>
          <w:szCs w:val="20"/>
        </w:rPr>
        <w:t>(neuhrádzajte poplatok vkladom v banke). Pre tých, ktorí sa seminára nemôžu zúčastniť, KR zorganizuje náhradný seminár v</w:t>
      </w:r>
      <w:r w:rsidR="004B508C" w:rsidRPr="004B508C">
        <w:rPr>
          <w:rFonts w:ascii="Tahoma" w:hAnsi="Tahoma" w:cs="Tahoma"/>
          <w:color w:val="000000"/>
          <w:sz w:val="20"/>
          <w:szCs w:val="20"/>
        </w:rPr>
        <w:t xml:space="preserve"> neskoršom termíne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(poplatok za náhradný seminár je 10 eur). Svoju </w:t>
      </w:r>
      <w:r w:rsidRPr="004B508C">
        <w:rPr>
          <w:rFonts w:ascii="Tahoma" w:hAnsi="Tahoma" w:cs="Tahoma"/>
          <w:b/>
          <w:bCs/>
          <w:color w:val="000000"/>
          <w:sz w:val="20"/>
          <w:szCs w:val="20"/>
        </w:rPr>
        <w:t xml:space="preserve">účasť potvrďte </w:t>
      </w:r>
      <w:r w:rsidRPr="004B508C">
        <w:rPr>
          <w:rFonts w:ascii="Tahoma" w:hAnsi="Tahoma" w:cs="Tahoma"/>
          <w:color w:val="000000"/>
          <w:sz w:val="20"/>
          <w:szCs w:val="20"/>
        </w:rPr>
        <w:t xml:space="preserve">mailom na </w:t>
      </w:r>
      <w:hyperlink r:id="rId9" w:history="1">
        <w:r w:rsidR="00F04AAB" w:rsidRPr="00572146">
          <w:rPr>
            <w:rStyle w:val="Hypertextovprepojenie"/>
            <w:rFonts w:ascii="Tahoma" w:hAnsi="Tahoma" w:cs="Tahoma"/>
            <w:sz w:val="20"/>
            <w:szCs w:val="20"/>
          </w:rPr>
          <w:t>obfztv@futbalsfz.sk</w:t>
        </w:r>
      </w:hyperlink>
      <w:r w:rsidRPr="004B508C">
        <w:rPr>
          <w:rFonts w:ascii="Tahoma" w:hAnsi="Tahoma" w:cs="Tahoma"/>
          <w:color w:val="000000"/>
          <w:sz w:val="20"/>
          <w:szCs w:val="20"/>
        </w:rPr>
        <w:t>.</w:t>
      </w:r>
    </w:p>
    <w:p w14:paraId="0B77A0C5" w14:textId="6278363A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2877335C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6E72F8B" w14:textId="78A3FCCD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04AAB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>
        <w:rPr>
          <w:rFonts w:ascii="Tahoma" w:eastAsia="Times New Roman" w:hAnsi="Tahoma" w:cs="Tahoma"/>
          <w:sz w:val="20"/>
          <w:szCs w:val="20"/>
          <w:lang w:eastAsia="sk-SK"/>
        </w:rPr>
        <w:t>stanovila termíny stretnutí jarnej časti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súťaží 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SR 2021/22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vrátane dohrávok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ôžete ich nájsť na stránke </w:t>
      </w:r>
      <w:hyperlink r:id="rId10" w:history="1">
        <w:r w:rsidRPr="00572146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www.obfztv.sk</w:t>
        </w:r>
      </w:hyperlink>
      <w:r w:rsidR="002756EB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4D65914" w14:textId="245F720B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0D45FA" w14:textId="129819EE" w:rsidR="00F04AAB" w:rsidRPr="0060540F" w:rsidRDefault="00653E6E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="00F04AAB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F04AAB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09424018" w14:textId="77777777" w:rsidR="00F04AAB" w:rsidRDefault="00F04AAB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4DA19C01" w14:textId="1FA8D913" w:rsidR="00F04AAB" w:rsidRDefault="00F12E7F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r w:rsidR="00F04AAB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zašle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mailom </w:t>
      </w:r>
      <w:r w:rsidR="00F04AAB">
        <w:rPr>
          <w:rFonts w:ascii="Tahoma" w:eastAsia="Times New Roman" w:hAnsi="Tahoma" w:cs="Tahoma"/>
          <w:sz w:val="20"/>
          <w:szCs w:val="20"/>
          <w:lang w:eastAsia="sk-SK"/>
        </w:rPr>
        <w:t>FK ObFZ termínové listiny jednotlivých súťaží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ObFZ, ktoré stanovila </w:t>
      </w:r>
      <w:r w:rsidR="00F04AAB" w:rsidRPr="00F04AAB">
        <w:rPr>
          <w:rFonts w:ascii="Tahoma" w:eastAsia="Times New Roman" w:hAnsi="Tahoma" w:cs="Tahoma"/>
          <w:sz w:val="20"/>
          <w:szCs w:val="20"/>
          <w:lang w:eastAsia="sk-SK"/>
        </w:rPr>
        <w:t>ŠTK</w:t>
      </w:r>
      <w:r w:rsidR="00F04AAB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B9C61AE" w14:textId="3FDF23FB" w:rsidR="00F12E7F" w:rsidRDefault="00F12E7F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FK ObFZ sa majú vyjadriť do 04.02.2022 mailom na obfztv@futbalsfz.sk, či majú predbežný záujem o zapojenie sa do „Zimných turnajov ObFZ 2022“. Po vyhodnotení spätnej väzby od futbalových klubov, prijme ObFZ 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konečné </w:t>
      </w:r>
      <w:r>
        <w:rPr>
          <w:rFonts w:ascii="Tahoma" w:eastAsia="Times New Roman" w:hAnsi="Tahoma" w:cs="Tahoma"/>
          <w:sz w:val="20"/>
          <w:szCs w:val="20"/>
          <w:lang w:eastAsia="sk-SK"/>
        </w:rPr>
        <w:t>rozhodnutie o organizácii týchto turnajov.</w:t>
      </w:r>
    </w:p>
    <w:p w14:paraId="31C574D5" w14:textId="5CF9E570" w:rsidR="00F12E7F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3. ObFZ Trebišov v spolupráci s NsP Trebišov organizuje dňa 25.03.2022 Futbalovú kvapku krvi v priestoroch miestnej NsP. Pozývame všetkých, ktorí môžu darovať krv na túto dobročinnú akciu.</w:t>
      </w:r>
    </w:p>
    <w:p w14:paraId="79E3EA30" w14:textId="2E569898" w:rsidR="00FE2E5C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4. Sekretariát z poverenia 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VV ObFZ, žiada futbalové kluby o nahlásenie konta videotechnika, cez ktoré budú nahrávané </w:t>
      </w:r>
      <w:r>
        <w:rPr>
          <w:rFonts w:ascii="Tahoma" w:eastAsia="Times New Roman" w:hAnsi="Tahoma" w:cs="Tahoma"/>
          <w:sz w:val="20"/>
          <w:szCs w:val="20"/>
          <w:lang w:eastAsia="sk-SK"/>
        </w:rPr>
        <w:t>videá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z futbalových stretnutí dospelých </w:t>
      </w:r>
      <w:r>
        <w:rPr>
          <w:rFonts w:ascii="Tahoma" w:eastAsia="Times New Roman" w:hAnsi="Tahoma" w:cs="Tahoma"/>
          <w:sz w:val="20"/>
          <w:szCs w:val="20"/>
          <w:lang w:eastAsia="sk-SK"/>
        </w:rPr>
        <w:t>na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portál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od jarnej časti SR 2021/22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B979964" w14:textId="4F70A705" w:rsidR="00FE2E5C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5. </w:t>
      </w:r>
      <w:r w:rsidR="002E579E">
        <w:rPr>
          <w:rFonts w:ascii="Tahoma" w:eastAsia="Times New Roman" w:hAnsi="Tahoma" w:cs="Tahoma"/>
          <w:sz w:val="20"/>
          <w:szCs w:val="20"/>
          <w:lang w:eastAsia="sk-SK"/>
        </w:rPr>
        <w:t>Sekretariát oznamuje FK ObFZ</w:t>
      </w:r>
      <w:r w:rsidR="00653E6E">
        <w:rPr>
          <w:rFonts w:ascii="Tahoma" w:eastAsia="Times New Roman" w:hAnsi="Tahoma" w:cs="Tahoma"/>
          <w:sz w:val="20"/>
          <w:szCs w:val="20"/>
          <w:lang w:eastAsia="sk-SK"/>
        </w:rPr>
        <w:t xml:space="preserve"> a futbalovej verejnosti</w:t>
      </w:r>
      <w:r w:rsidR="002E579E">
        <w:rPr>
          <w:rFonts w:ascii="Tahoma" w:eastAsia="Times New Roman" w:hAnsi="Tahoma" w:cs="Tahoma"/>
          <w:sz w:val="20"/>
          <w:szCs w:val="20"/>
          <w:lang w:eastAsia="sk-SK"/>
        </w:rPr>
        <w:t xml:space="preserve">, že </w:t>
      </w:r>
      <w:r w:rsidR="00653E6E">
        <w:rPr>
          <w:rFonts w:ascii="Tahoma" w:eastAsia="Times New Roman" w:hAnsi="Tahoma" w:cs="Tahoma"/>
          <w:sz w:val="20"/>
          <w:szCs w:val="20"/>
          <w:lang w:eastAsia="sk-SK"/>
        </w:rPr>
        <w:t xml:space="preserve">aj v tomto roku vyberá ako subjekt </w:t>
      </w:r>
      <w:r>
        <w:rPr>
          <w:rFonts w:ascii="Tahoma" w:eastAsia="Times New Roman" w:hAnsi="Tahoma" w:cs="Tahoma"/>
          <w:sz w:val="20"/>
          <w:szCs w:val="20"/>
          <w:lang w:eastAsia="sk-SK"/>
        </w:rPr>
        <w:t>2 %</w:t>
      </w:r>
      <w:r w:rsidR="00653E6E">
        <w:rPr>
          <w:rFonts w:ascii="Tahoma" w:eastAsia="Times New Roman" w:hAnsi="Tahoma" w:cs="Tahoma"/>
          <w:sz w:val="20"/>
          <w:szCs w:val="20"/>
          <w:lang w:eastAsia="sk-SK"/>
        </w:rPr>
        <w:t xml:space="preserve"> z dane zaplatenej za rok 2021. Zároveň vás žiada o</w:t>
      </w:r>
      <w:r w:rsidR="001515DC">
        <w:rPr>
          <w:rFonts w:ascii="Tahoma" w:eastAsia="Times New Roman" w:hAnsi="Tahoma" w:cs="Tahoma"/>
          <w:sz w:val="20"/>
          <w:szCs w:val="20"/>
          <w:lang w:eastAsia="sk-SK"/>
        </w:rPr>
        <w:t> túto finančnú</w:t>
      </w:r>
      <w:r w:rsidR="00653E6E">
        <w:rPr>
          <w:rFonts w:ascii="Tahoma" w:eastAsia="Times New Roman" w:hAnsi="Tahoma" w:cs="Tahoma"/>
          <w:sz w:val="20"/>
          <w:szCs w:val="20"/>
          <w:lang w:eastAsia="sk-SK"/>
        </w:rPr>
        <w:t xml:space="preserve"> pomoc, </w:t>
      </w:r>
      <w:r w:rsidR="001515DC">
        <w:rPr>
          <w:rFonts w:ascii="Tahoma" w:eastAsia="Times New Roman" w:hAnsi="Tahoma" w:cs="Tahoma"/>
          <w:sz w:val="20"/>
          <w:szCs w:val="20"/>
          <w:lang w:eastAsia="sk-SK"/>
        </w:rPr>
        <w:t xml:space="preserve">ktorou </w:t>
      </w:r>
      <w:r w:rsidR="00653E6E">
        <w:rPr>
          <w:rFonts w:ascii="Tahoma" w:eastAsia="Times New Roman" w:hAnsi="Tahoma" w:cs="Tahoma"/>
          <w:sz w:val="20"/>
          <w:szCs w:val="20"/>
          <w:lang w:eastAsia="sk-SK"/>
        </w:rPr>
        <w:t>podporíte</w:t>
      </w:r>
      <w:r w:rsidR="001515DC">
        <w:rPr>
          <w:rFonts w:ascii="Tahoma" w:eastAsia="Times New Roman" w:hAnsi="Tahoma" w:cs="Tahoma"/>
          <w:sz w:val="20"/>
          <w:szCs w:val="20"/>
          <w:lang w:eastAsia="sk-SK"/>
        </w:rPr>
        <w:t xml:space="preserve"> rozvoj mládežníckeho futbalu v okrese Trebišov</w:t>
      </w:r>
      <w:r w:rsidR="00653E6E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0A8102E" w14:textId="4824A861" w:rsidR="00FE2E5C" w:rsidRPr="00F04AAB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6. Sekretariát oznamuje FK O</w:t>
      </w:r>
      <w:r w:rsidR="002E579E">
        <w:rPr>
          <w:rFonts w:ascii="Tahoma" w:eastAsia="Times New Roman" w:hAnsi="Tahoma" w:cs="Tahoma"/>
          <w:sz w:val="20"/>
          <w:szCs w:val="20"/>
          <w:lang w:eastAsia="sk-SK"/>
        </w:rPr>
        <w:t>bF</w:t>
      </w:r>
      <w:r>
        <w:rPr>
          <w:rFonts w:ascii="Tahoma" w:eastAsia="Times New Roman" w:hAnsi="Tahoma" w:cs="Tahoma"/>
          <w:sz w:val="20"/>
          <w:szCs w:val="20"/>
          <w:lang w:eastAsia="sk-SK"/>
        </w:rPr>
        <w:t>Z Trebišov, že Konferencia ObFZ Trebišov sa uskutoční dňa 05.03.2022, miesto konania bude oznámené dodatočne. Pozvánky futbalovým klubom budú zaslané mailom. Na konferencii budú vykonané voľby predsedov odvolacej a volebnej komisie ObFZ.</w:t>
      </w:r>
    </w:p>
    <w:p w14:paraId="7CA6C62A" w14:textId="77777777" w:rsidR="00F04AAB" w:rsidRP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sectPr w:rsidR="00F04AAB" w:rsidRPr="00F04AAB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DC65" w14:textId="77777777" w:rsidR="000B6A16" w:rsidRDefault="000B6A16">
      <w:pPr>
        <w:spacing w:after="0" w:line="240" w:lineRule="auto"/>
      </w:pPr>
      <w:r>
        <w:separator/>
      </w:r>
    </w:p>
  </w:endnote>
  <w:endnote w:type="continuationSeparator" w:id="0">
    <w:p w14:paraId="4E960928" w14:textId="77777777" w:rsidR="000B6A16" w:rsidRDefault="000B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B6A16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8932" w14:textId="77777777" w:rsidR="000B6A16" w:rsidRDefault="000B6A16">
      <w:pPr>
        <w:spacing w:after="0" w:line="240" w:lineRule="auto"/>
      </w:pPr>
      <w:r>
        <w:separator/>
      </w:r>
    </w:p>
  </w:footnote>
  <w:footnote w:type="continuationSeparator" w:id="0">
    <w:p w14:paraId="4A5824BB" w14:textId="77777777" w:rsidR="000B6A16" w:rsidRDefault="000B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329FB"/>
    <w:rsid w:val="00035893"/>
    <w:rsid w:val="00037254"/>
    <w:rsid w:val="00064A1D"/>
    <w:rsid w:val="00070774"/>
    <w:rsid w:val="00084825"/>
    <w:rsid w:val="000B6A16"/>
    <w:rsid w:val="000C2DED"/>
    <w:rsid w:val="000F0DCC"/>
    <w:rsid w:val="000F1420"/>
    <w:rsid w:val="00114E07"/>
    <w:rsid w:val="0012031C"/>
    <w:rsid w:val="00124A56"/>
    <w:rsid w:val="00124C62"/>
    <w:rsid w:val="001328B5"/>
    <w:rsid w:val="001515DC"/>
    <w:rsid w:val="00177FCE"/>
    <w:rsid w:val="00193C5F"/>
    <w:rsid w:val="001A010E"/>
    <w:rsid w:val="001A36F5"/>
    <w:rsid w:val="001B39A4"/>
    <w:rsid w:val="001F06CE"/>
    <w:rsid w:val="001F6250"/>
    <w:rsid w:val="00200649"/>
    <w:rsid w:val="00205273"/>
    <w:rsid w:val="00222E41"/>
    <w:rsid w:val="00223518"/>
    <w:rsid w:val="00233F5F"/>
    <w:rsid w:val="00247E16"/>
    <w:rsid w:val="00253ABD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C442C"/>
    <w:rsid w:val="002C7031"/>
    <w:rsid w:val="002D5132"/>
    <w:rsid w:val="002E579E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60BC"/>
    <w:rsid w:val="003560C9"/>
    <w:rsid w:val="003712F1"/>
    <w:rsid w:val="00372E51"/>
    <w:rsid w:val="00375A1A"/>
    <w:rsid w:val="003822F9"/>
    <w:rsid w:val="00391994"/>
    <w:rsid w:val="003943AB"/>
    <w:rsid w:val="003A22EF"/>
    <w:rsid w:val="003A3B2F"/>
    <w:rsid w:val="003C5E26"/>
    <w:rsid w:val="003D2866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4BE"/>
    <w:rsid w:val="004A39A4"/>
    <w:rsid w:val="004A41CB"/>
    <w:rsid w:val="004B508C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94516"/>
    <w:rsid w:val="005B57A7"/>
    <w:rsid w:val="005D23A7"/>
    <w:rsid w:val="005E020C"/>
    <w:rsid w:val="00607BE4"/>
    <w:rsid w:val="00633EF9"/>
    <w:rsid w:val="00640D18"/>
    <w:rsid w:val="0064192D"/>
    <w:rsid w:val="00643AAC"/>
    <w:rsid w:val="00645FE6"/>
    <w:rsid w:val="00653E6E"/>
    <w:rsid w:val="00660DF3"/>
    <w:rsid w:val="006618D4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A0C16"/>
    <w:rsid w:val="008D74A2"/>
    <w:rsid w:val="008F049E"/>
    <w:rsid w:val="0090138B"/>
    <w:rsid w:val="009025BB"/>
    <w:rsid w:val="009041BA"/>
    <w:rsid w:val="00914294"/>
    <w:rsid w:val="00916725"/>
    <w:rsid w:val="00931708"/>
    <w:rsid w:val="00941926"/>
    <w:rsid w:val="009423CC"/>
    <w:rsid w:val="009553D3"/>
    <w:rsid w:val="009569DF"/>
    <w:rsid w:val="00957F6B"/>
    <w:rsid w:val="009A7044"/>
    <w:rsid w:val="009B76F9"/>
    <w:rsid w:val="009C02BE"/>
    <w:rsid w:val="009D4DFA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44EFD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752A"/>
    <w:rsid w:val="00C67DD1"/>
    <w:rsid w:val="00C85143"/>
    <w:rsid w:val="00C929E0"/>
    <w:rsid w:val="00CA719E"/>
    <w:rsid w:val="00CA72ED"/>
    <w:rsid w:val="00CB45E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05C34"/>
    <w:rsid w:val="00E238DC"/>
    <w:rsid w:val="00E322AC"/>
    <w:rsid w:val="00E33F76"/>
    <w:rsid w:val="00E3463C"/>
    <w:rsid w:val="00E61194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4AAB"/>
    <w:rsid w:val="00F05604"/>
    <w:rsid w:val="00F12E7F"/>
    <w:rsid w:val="00F255B5"/>
    <w:rsid w:val="00F3431B"/>
    <w:rsid w:val="00F400A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4AA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balsfz.sk/treneri/dokumenty/manual-ziadosti-na-predlzenie-trenerskej-licencie-v-iss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fztv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fztv@futbalsfz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11</cp:revision>
  <cp:lastPrinted>2021-09-30T09:40:00Z</cp:lastPrinted>
  <dcterms:created xsi:type="dcterms:W3CDTF">2022-01-12T11:54:00Z</dcterms:created>
  <dcterms:modified xsi:type="dcterms:W3CDTF">2022-02-04T15:11:00Z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